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14" w:rsidRPr="003C2DE7" w:rsidRDefault="000726E6" w:rsidP="00285D25">
      <w:pPr>
        <w:pStyle w:val="Standard"/>
        <w:rPr>
          <w:b/>
          <w:sz w:val="26"/>
          <w:szCs w:val="26"/>
          <w:u w:val="single"/>
        </w:rPr>
      </w:pPr>
      <w:r w:rsidRPr="00F80625">
        <w:rPr>
          <w:noProof/>
          <w:lang w:eastAsia="fr-FR" w:bidi="ar-SA"/>
        </w:rPr>
        <w:drawing>
          <wp:inline distT="0" distB="0" distL="0" distR="0">
            <wp:extent cx="2228850" cy="1380624"/>
            <wp:effectExtent l="0" t="0" r="0" b="0"/>
            <wp:docPr id="2" name="Image 2" descr="cfdt cus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dt cus hor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45" cy="138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38F" w:rsidRPr="00465F36">
        <w:rPr>
          <w:b/>
          <w:sz w:val="36"/>
          <w:szCs w:val="36"/>
        </w:rPr>
        <w:t xml:space="preserve"> </w:t>
      </w:r>
      <w:r w:rsidR="00E97855" w:rsidRPr="002524F0">
        <w:rPr>
          <w:noProof/>
          <w:lang w:eastAsia="fr-FR" w:bidi="ar-SA"/>
        </w:rPr>
        <w:drawing>
          <wp:inline distT="0" distB="0" distL="0" distR="0" wp14:anchorId="3B2E04E8" wp14:editId="6F7F1677">
            <wp:extent cx="1037230" cy="1125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327" cy="117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E4F" w:rsidRPr="00CF001A">
        <w:rPr>
          <w:noProof/>
          <w:lang w:eastAsia="fr-FR" w:bidi="ar-SA"/>
        </w:rPr>
        <w:drawing>
          <wp:inline distT="0" distB="0" distL="0" distR="0" wp14:anchorId="5C2174CF" wp14:editId="0A8B14CD">
            <wp:extent cx="2362200" cy="8521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3" r="30119"/>
                    <a:stretch/>
                  </pic:blipFill>
                  <pic:spPr bwMode="auto">
                    <a:xfrm>
                      <a:off x="0" y="0"/>
                      <a:ext cx="2369512" cy="85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E4F" w:rsidRDefault="00C74E4F" w:rsidP="003C2DE7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C74E4F" w:rsidRDefault="00C74E4F" w:rsidP="003C2DE7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9D34B4" w:rsidRPr="003C2DE7" w:rsidRDefault="00F97925" w:rsidP="003C2DE7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3C2DE7">
        <w:rPr>
          <w:b/>
          <w:sz w:val="36"/>
          <w:szCs w:val="36"/>
          <w:u w:val="single"/>
        </w:rPr>
        <w:t>N</w:t>
      </w:r>
      <w:r>
        <w:rPr>
          <w:rFonts w:cstheme="minorHAnsi"/>
          <w:b/>
          <w:sz w:val="36"/>
          <w:szCs w:val="36"/>
          <w:u w:val="single"/>
        </w:rPr>
        <w:t>É</w:t>
      </w:r>
      <w:r w:rsidRPr="003C2DE7">
        <w:rPr>
          <w:b/>
          <w:sz w:val="36"/>
          <w:szCs w:val="36"/>
          <w:u w:val="single"/>
        </w:rPr>
        <w:t>GOCIATIONS</w:t>
      </w:r>
      <w:r>
        <w:rPr>
          <w:b/>
          <w:sz w:val="36"/>
          <w:szCs w:val="36"/>
          <w:u w:val="single"/>
        </w:rPr>
        <w:t xml:space="preserve"> </w:t>
      </w:r>
      <w:r w:rsidRPr="003C2DE7">
        <w:rPr>
          <w:b/>
          <w:sz w:val="36"/>
          <w:szCs w:val="36"/>
          <w:u w:val="single"/>
        </w:rPr>
        <w:t>GLOBALES</w:t>
      </w:r>
      <w:r w:rsidR="00E97855" w:rsidRPr="003C2DE7">
        <w:rPr>
          <w:b/>
          <w:sz w:val="36"/>
          <w:szCs w:val="36"/>
          <w:u w:val="single"/>
        </w:rPr>
        <w:t> ???</w:t>
      </w:r>
    </w:p>
    <w:p w:rsidR="003C2DE7" w:rsidRDefault="003C2DE7" w:rsidP="004C50CE">
      <w:pPr>
        <w:spacing w:after="0" w:line="240" w:lineRule="auto"/>
        <w:rPr>
          <w:b/>
          <w:sz w:val="26"/>
          <w:szCs w:val="26"/>
          <w:u w:val="single"/>
        </w:rPr>
      </w:pPr>
    </w:p>
    <w:p w:rsidR="005F5B32" w:rsidRDefault="005F5B32" w:rsidP="004C50CE">
      <w:pPr>
        <w:spacing w:after="0" w:line="240" w:lineRule="auto"/>
        <w:rPr>
          <w:b/>
          <w:sz w:val="26"/>
          <w:szCs w:val="26"/>
          <w:u w:val="single"/>
        </w:rPr>
      </w:pPr>
    </w:p>
    <w:p w:rsidR="00E83CB2" w:rsidRPr="00AB1FD8" w:rsidRDefault="00D67434" w:rsidP="003C2DE7">
      <w:pPr>
        <w:spacing w:after="0" w:line="240" w:lineRule="auto"/>
        <w:jc w:val="both"/>
        <w:rPr>
          <w:sz w:val="26"/>
          <w:szCs w:val="26"/>
        </w:rPr>
      </w:pPr>
      <w:r w:rsidRPr="00AB1FD8">
        <w:rPr>
          <w:sz w:val="26"/>
          <w:szCs w:val="26"/>
        </w:rPr>
        <w:t xml:space="preserve">La CFDT, </w:t>
      </w:r>
      <w:r w:rsidR="00255CC6" w:rsidRPr="00AB1FD8">
        <w:rPr>
          <w:sz w:val="26"/>
          <w:szCs w:val="26"/>
        </w:rPr>
        <w:t>la FA</w:t>
      </w:r>
      <w:r w:rsidR="00F674A4">
        <w:rPr>
          <w:sz w:val="26"/>
          <w:szCs w:val="26"/>
        </w:rPr>
        <w:t>-</w:t>
      </w:r>
      <w:r w:rsidR="00255CC6" w:rsidRPr="00AB1FD8">
        <w:rPr>
          <w:sz w:val="26"/>
          <w:szCs w:val="26"/>
        </w:rPr>
        <w:t xml:space="preserve">FPT </w:t>
      </w:r>
      <w:r w:rsidR="00255CC6">
        <w:rPr>
          <w:sz w:val="26"/>
          <w:szCs w:val="26"/>
        </w:rPr>
        <w:t xml:space="preserve">et le </w:t>
      </w:r>
      <w:proofErr w:type="spellStart"/>
      <w:r w:rsidR="00255CC6">
        <w:rPr>
          <w:sz w:val="26"/>
          <w:szCs w:val="26"/>
        </w:rPr>
        <w:t>SPT</w:t>
      </w:r>
      <w:proofErr w:type="spellEnd"/>
      <w:r w:rsidR="00F674A4">
        <w:rPr>
          <w:sz w:val="26"/>
          <w:szCs w:val="26"/>
        </w:rPr>
        <w:t xml:space="preserve"> </w:t>
      </w:r>
      <w:r w:rsidR="00255CC6">
        <w:rPr>
          <w:sz w:val="26"/>
          <w:szCs w:val="26"/>
        </w:rPr>
        <w:t>67</w:t>
      </w:r>
      <w:r w:rsidRPr="00AB1FD8">
        <w:rPr>
          <w:sz w:val="26"/>
          <w:szCs w:val="26"/>
        </w:rPr>
        <w:t xml:space="preserve">, </w:t>
      </w:r>
      <w:r w:rsidR="00272F7A" w:rsidRPr="00AB1FD8">
        <w:rPr>
          <w:sz w:val="26"/>
          <w:szCs w:val="26"/>
        </w:rPr>
        <w:t>S</w:t>
      </w:r>
      <w:r w:rsidR="00D006B2" w:rsidRPr="00AB1FD8">
        <w:rPr>
          <w:sz w:val="26"/>
          <w:szCs w:val="26"/>
        </w:rPr>
        <w:t>yndicats</w:t>
      </w:r>
      <w:r w:rsidRPr="00AB1FD8">
        <w:rPr>
          <w:sz w:val="26"/>
          <w:szCs w:val="26"/>
        </w:rPr>
        <w:t xml:space="preserve"> </w:t>
      </w:r>
      <w:r w:rsidR="00272F7A" w:rsidRPr="00AB1FD8">
        <w:rPr>
          <w:sz w:val="26"/>
          <w:szCs w:val="26"/>
        </w:rPr>
        <w:t>R</w:t>
      </w:r>
      <w:r w:rsidRPr="00AB1FD8">
        <w:rPr>
          <w:sz w:val="26"/>
          <w:szCs w:val="26"/>
        </w:rPr>
        <w:t>eprésentatif</w:t>
      </w:r>
      <w:r w:rsidR="00D006B2" w:rsidRPr="00AB1FD8">
        <w:rPr>
          <w:sz w:val="26"/>
          <w:szCs w:val="26"/>
        </w:rPr>
        <w:t>s</w:t>
      </w:r>
      <w:r w:rsidR="009B7C68" w:rsidRPr="00AB1FD8">
        <w:rPr>
          <w:sz w:val="26"/>
          <w:szCs w:val="26"/>
        </w:rPr>
        <w:t xml:space="preserve"> de</w:t>
      </w:r>
      <w:r w:rsidR="00D006B2" w:rsidRPr="00AB1FD8">
        <w:rPr>
          <w:sz w:val="26"/>
          <w:szCs w:val="26"/>
        </w:rPr>
        <w:t xml:space="preserve"> l’</w:t>
      </w:r>
      <w:r w:rsidR="009B7C68" w:rsidRPr="00AB1FD8">
        <w:rPr>
          <w:sz w:val="26"/>
          <w:szCs w:val="26"/>
        </w:rPr>
        <w:t xml:space="preserve">Eurométropole </w:t>
      </w:r>
      <w:r w:rsidR="00FF292E">
        <w:rPr>
          <w:sz w:val="26"/>
          <w:szCs w:val="26"/>
        </w:rPr>
        <w:t xml:space="preserve">                      </w:t>
      </w:r>
      <w:r w:rsidR="009B7C68" w:rsidRPr="00AB1FD8">
        <w:rPr>
          <w:sz w:val="26"/>
          <w:szCs w:val="26"/>
        </w:rPr>
        <w:t>de Strasbourg</w:t>
      </w:r>
      <w:r w:rsidRPr="00AB1FD8">
        <w:rPr>
          <w:sz w:val="26"/>
          <w:szCs w:val="26"/>
        </w:rPr>
        <w:t>,</w:t>
      </w:r>
      <w:r w:rsidR="0084238F" w:rsidRPr="00AB1FD8">
        <w:rPr>
          <w:sz w:val="26"/>
          <w:szCs w:val="26"/>
        </w:rPr>
        <w:t xml:space="preserve"> ont été consternés </w:t>
      </w:r>
      <w:r w:rsidR="00E83CB2" w:rsidRPr="00AB1FD8">
        <w:rPr>
          <w:b/>
          <w:sz w:val="26"/>
          <w:szCs w:val="26"/>
        </w:rPr>
        <w:t xml:space="preserve">par l’article de presse de </w:t>
      </w:r>
      <w:r w:rsidR="00CF4082" w:rsidRPr="00AB1FD8">
        <w:rPr>
          <w:rFonts w:cstheme="minorHAnsi"/>
          <w:b/>
          <w:sz w:val="26"/>
          <w:szCs w:val="26"/>
        </w:rPr>
        <w:t>"</w:t>
      </w:r>
      <w:r w:rsidR="00E83CB2" w:rsidRPr="00AB1FD8">
        <w:rPr>
          <w:b/>
          <w:sz w:val="26"/>
          <w:szCs w:val="26"/>
        </w:rPr>
        <w:t>Rue 89</w:t>
      </w:r>
      <w:r w:rsidR="00CF4082" w:rsidRPr="00AB1FD8">
        <w:rPr>
          <w:rFonts w:cstheme="minorHAnsi"/>
          <w:b/>
          <w:sz w:val="26"/>
          <w:szCs w:val="26"/>
        </w:rPr>
        <w:t>"</w:t>
      </w:r>
      <w:r w:rsidR="004028B3" w:rsidRPr="00AB1FD8">
        <w:rPr>
          <w:b/>
          <w:sz w:val="26"/>
          <w:szCs w:val="26"/>
        </w:rPr>
        <w:t xml:space="preserve"> paru le</w:t>
      </w:r>
      <w:r w:rsidR="004028B3" w:rsidRPr="00AB1FD8">
        <w:rPr>
          <w:sz w:val="26"/>
          <w:szCs w:val="26"/>
        </w:rPr>
        <w:t xml:space="preserve"> </w:t>
      </w:r>
      <w:r w:rsidR="00E501D3">
        <w:rPr>
          <w:sz w:val="26"/>
          <w:szCs w:val="26"/>
        </w:rPr>
        <w:t xml:space="preserve">                    </w:t>
      </w:r>
      <w:r w:rsidR="004028B3" w:rsidRPr="00AB1FD8">
        <w:rPr>
          <w:b/>
          <w:sz w:val="26"/>
          <w:szCs w:val="26"/>
        </w:rPr>
        <w:t>15 Mars 2022</w:t>
      </w:r>
      <w:r w:rsidR="00E83CB2" w:rsidRPr="00AB1FD8">
        <w:rPr>
          <w:sz w:val="26"/>
          <w:szCs w:val="26"/>
        </w:rPr>
        <w:t xml:space="preserve"> sous l’intitulé </w:t>
      </w:r>
      <w:r w:rsidR="00E83CB2" w:rsidRPr="00AB1FD8">
        <w:rPr>
          <w:rFonts w:cstheme="minorHAnsi"/>
          <w:sz w:val="26"/>
          <w:szCs w:val="26"/>
        </w:rPr>
        <w:t xml:space="preserve">" Après une première mini-grève à </w:t>
      </w:r>
      <w:r w:rsidR="00F97925" w:rsidRPr="00AB1FD8">
        <w:rPr>
          <w:rFonts w:cstheme="minorHAnsi"/>
          <w:sz w:val="26"/>
          <w:szCs w:val="26"/>
        </w:rPr>
        <w:t xml:space="preserve">l’Eurométropole, </w:t>
      </w:r>
      <w:r w:rsidR="00E83CB2" w:rsidRPr="00AB1FD8">
        <w:rPr>
          <w:rFonts w:cstheme="minorHAnsi"/>
          <w:sz w:val="26"/>
          <w:szCs w:val="26"/>
        </w:rPr>
        <w:t>la CGT obtient un calendrier de négociations "</w:t>
      </w:r>
      <w:r w:rsidR="004028B3" w:rsidRPr="00AB1FD8">
        <w:rPr>
          <w:rFonts w:cstheme="minorHAnsi"/>
          <w:sz w:val="26"/>
          <w:szCs w:val="26"/>
        </w:rPr>
        <w:t>.</w:t>
      </w:r>
    </w:p>
    <w:p w:rsidR="00E83CB2" w:rsidRPr="00AB1FD8" w:rsidRDefault="00E83CB2" w:rsidP="004C50CE">
      <w:pPr>
        <w:spacing w:after="0" w:line="240" w:lineRule="auto"/>
        <w:jc w:val="both"/>
        <w:rPr>
          <w:sz w:val="26"/>
          <w:szCs w:val="26"/>
        </w:rPr>
      </w:pPr>
    </w:p>
    <w:p w:rsidR="00E83CB2" w:rsidRPr="00AB1FD8" w:rsidRDefault="004028B3" w:rsidP="004C50CE">
      <w:pPr>
        <w:spacing w:after="0" w:line="240" w:lineRule="auto"/>
        <w:jc w:val="both"/>
        <w:rPr>
          <w:sz w:val="26"/>
          <w:szCs w:val="26"/>
        </w:rPr>
      </w:pPr>
      <w:r w:rsidRPr="00AB1FD8">
        <w:rPr>
          <w:b/>
          <w:sz w:val="26"/>
          <w:szCs w:val="26"/>
        </w:rPr>
        <w:t>Dans le cadre des négociations globales en cours menées avec l’Administration</w:t>
      </w:r>
      <w:r w:rsidRPr="00AB1FD8">
        <w:rPr>
          <w:sz w:val="26"/>
          <w:szCs w:val="26"/>
        </w:rPr>
        <w:t xml:space="preserve">, </w:t>
      </w:r>
      <w:r w:rsidRPr="00AB1FD8">
        <w:rPr>
          <w:b/>
          <w:sz w:val="26"/>
          <w:szCs w:val="26"/>
        </w:rPr>
        <w:t>n</w:t>
      </w:r>
      <w:r w:rsidR="00E83CB2" w:rsidRPr="00AB1FD8">
        <w:rPr>
          <w:b/>
          <w:sz w:val="26"/>
          <w:szCs w:val="26"/>
        </w:rPr>
        <w:t xml:space="preserve">ous </w:t>
      </w:r>
      <w:r w:rsidR="00E02CCF" w:rsidRPr="00AB1FD8">
        <w:rPr>
          <w:b/>
          <w:sz w:val="26"/>
          <w:szCs w:val="26"/>
        </w:rPr>
        <w:t>déplorons</w:t>
      </w:r>
      <w:r w:rsidRPr="00AB1FD8">
        <w:rPr>
          <w:b/>
          <w:sz w:val="26"/>
          <w:szCs w:val="26"/>
        </w:rPr>
        <w:t xml:space="preserve"> que</w:t>
      </w:r>
      <w:r w:rsidRPr="00AB1FD8">
        <w:rPr>
          <w:sz w:val="26"/>
          <w:szCs w:val="26"/>
        </w:rPr>
        <w:t xml:space="preserve"> </w:t>
      </w:r>
      <w:r w:rsidRPr="00AB1FD8">
        <w:rPr>
          <w:b/>
          <w:sz w:val="26"/>
          <w:szCs w:val="26"/>
        </w:rPr>
        <w:t>la parole donnée n’a</w:t>
      </w:r>
      <w:r w:rsidR="003C2DE7">
        <w:rPr>
          <w:b/>
          <w:sz w:val="26"/>
          <w:szCs w:val="26"/>
        </w:rPr>
        <w:t>it</w:t>
      </w:r>
      <w:r w:rsidRPr="00AB1FD8">
        <w:rPr>
          <w:b/>
          <w:sz w:val="26"/>
          <w:szCs w:val="26"/>
        </w:rPr>
        <w:t xml:space="preserve"> pas été respectée </w:t>
      </w:r>
      <w:r w:rsidRPr="00AB1FD8">
        <w:rPr>
          <w:sz w:val="26"/>
          <w:szCs w:val="26"/>
        </w:rPr>
        <w:t>alors que des engagements mutuels avaient été pris d’ouvrir des négociations sur la base d’un calendrier établi</w:t>
      </w:r>
      <w:r w:rsidR="00AB1FD8" w:rsidRPr="00AB1FD8">
        <w:rPr>
          <w:sz w:val="26"/>
          <w:szCs w:val="26"/>
        </w:rPr>
        <w:t xml:space="preserve"> afin de pouvoir aborder</w:t>
      </w:r>
      <w:r w:rsidR="00B05F14">
        <w:rPr>
          <w:sz w:val="26"/>
          <w:szCs w:val="26"/>
        </w:rPr>
        <w:t>,</w:t>
      </w:r>
      <w:r w:rsidRPr="00AB1FD8">
        <w:rPr>
          <w:sz w:val="26"/>
          <w:szCs w:val="26"/>
        </w:rPr>
        <w:t xml:space="preserve"> entre autre, la pénibilité et l’insalubrité pour l’ensemble des agents indifféremment de leur service ou direction d’affectation.  </w:t>
      </w:r>
    </w:p>
    <w:p w:rsidR="004C50CE" w:rsidRPr="00AB1FD8" w:rsidRDefault="004C50CE" w:rsidP="004C50CE">
      <w:pPr>
        <w:spacing w:after="0" w:line="240" w:lineRule="auto"/>
        <w:jc w:val="both"/>
        <w:rPr>
          <w:sz w:val="26"/>
          <w:szCs w:val="26"/>
        </w:rPr>
      </w:pPr>
    </w:p>
    <w:p w:rsidR="0084238F" w:rsidRPr="00AB1FD8" w:rsidRDefault="00D1112E" w:rsidP="004C50CE">
      <w:pPr>
        <w:spacing w:after="0" w:line="240" w:lineRule="auto"/>
        <w:jc w:val="both"/>
        <w:rPr>
          <w:sz w:val="26"/>
          <w:szCs w:val="26"/>
        </w:rPr>
      </w:pPr>
      <w:r w:rsidRPr="003C2DE7">
        <w:rPr>
          <w:sz w:val="26"/>
          <w:szCs w:val="26"/>
        </w:rPr>
        <w:t>Nous rappelons</w:t>
      </w:r>
      <w:r w:rsidRPr="00AB1FD8">
        <w:rPr>
          <w:sz w:val="26"/>
          <w:szCs w:val="26"/>
        </w:rPr>
        <w:t xml:space="preserve"> qu’</w:t>
      </w:r>
      <w:r w:rsidR="00E02CCF" w:rsidRPr="00AB1FD8">
        <w:rPr>
          <w:sz w:val="26"/>
          <w:szCs w:val="26"/>
        </w:rPr>
        <w:t>i</w:t>
      </w:r>
      <w:r w:rsidR="0084238F" w:rsidRPr="00AB1FD8">
        <w:rPr>
          <w:sz w:val="26"/>
          <w:szCs w:val="26"/>
        </w:rPr>
        <w:t>l avait été entendu que la pén</w:t>
      </w:r>
      <w:r w:rsidR="00465F36" w:rsidRPr="00AB1FD8">
        <w:rPr>
          <w:sz w:val="26"/>
          <w:szCs w:val="26"/>
        </w:rPr>
        <w:t>i</w:t>
      </w:r>
      <w:r w:rsidR="0084238F" w:rsidRPr="00AB1FD8">
        <w:rPr>
          <w:sz w:val="26"/>
          <w:szCs w:val="26"/>
        </w:rPr>
        <w:t xml:space="preserve">bilité serait compensée par </w:t>
      </w:r>
      <w:r w:rsidR="00E06D40" w:rsidRPr="00AB1FD8">
        <w:rPr>
          <w:sz w:val="26"/>
          <w:szCs w:val="26"/>
        </w:rPr>
        <w:t>une</w:t>
      </w:r>
      <w:r w:rsidR="0084238F" w:rsidRPr="00AB1FD8">
        <w:rPr>
          <w:sz w:val="26"/>
          <w:szCs w:val="26"/>
        </w:rPr>
        <w:t xml:space="preserve"> rédu</w:t>
      </w:r>
      <w:r w:rsidR="00465F36" w:rsidRPr="00AB1FD8">
        <w:rPr>
          <w:sz w:val="26"/>
          <w:szCs w:val="26"/>
        </w:rPr>
        <w:t>c</w:t>
      </w:r>
      <w:r w:rsidR="0084238F" w:rsidRPr="00AB1FD8">
        <w:rPr>
          <w:sz w:val="26"/>
          <w:szCs w:val="26"/>
        </w:rPr>
        <w:t>tion horaire</w:t>
      </w:r>
      <w:r w:rsidR="00AB1FD8" w:rsidRPr="00AB1FD8">
        <w:rPr>
          <w:sz w:val="26"/>
          <w:szCs w:val="26"/>
        </w:rPr>
        <w:t>,</w:t>
      </w:r>
      <w:r w:rsidR="0084238F" w:rsidRPr="00AB1FD8">
        <w:rPr>
          <w:sz w:val="26"/>
          <w:szCs w:val="26"/>
        </w:rPr>
        <w:t xml:space="preserve"> </w:t>
      </w:r>
      <w:r w:rsidR="007303E3" w:rsidRPr="00AB1FD8">
        <w:rPr>
          <w:sz w:val="26"/>
          <w:szCs w:val="26"/>
        </w:rPr>
        <w:t xml:space="preserve">tandis que </w:t>
      </w:r>
      <w:r w:rsidR="0084238F" w:rsidRPr="00AB1FD8">
        <w:rPr>
          <w:sz w:val="26"/>
          <w:szCs w:val="26"/>
        </w:rPr>
        <w:t xml:space="preserve">l’insalubrité </w:t>
      </w:r>
      <w:r w:rsidR="007303E3" w:rsidRPr="00AB1FD8">
        <w:rPr>
          <w:sz w:val="26"/>
          <w:szCs w:val="26"/>
        </w:rPr>
        <w:t xml:space="preserve">le serait </w:t>
      </w:r>
      <w:r w:rsidR="0084238F" w:rsidRPr="00AB1FD8">
        <w:rPr>
          <w:sz w:val="26"/>
          <w:szCs w:val="26"/>
        </w:rPr>
        <w:t>par d</w:t>
      </w:r>
      <w:r w:rsidR="00BD45FA" w:rsidRPr="00AB1FD8">
        <w:rPr>
          <w:sz w:val="26"/>
          <w:szCs w:val="26"/>
        </w:rPr>
        <w:t>es indemnités de sujétion</w:t>
      </w:r>
      <w:r w:rsidR="0084238F" w:rsidRPr="00AB1FD8">
        <w:rPr>
          <w:sz w:val="26"/>
          <w:szCs w:val="26"/>
        </w:rPr>
        <w:t xml:space="preserve"> dans le cadre du RI</w:t>
      </w:r>
      <w:r w:rsidR="00465F36" w:rsidRPr="00AB1FD8">
        <w:rPr>
          <w:sz w:val="26"/>
          <w:szCs w:val="26"/>
        </w:rPr>
        <w:t>F</w:t>
      </w:r>
      <w:r w:rsidR="0084238F" w:rsidRPr="00AB1FD8">
        <w:rPr>
          <w:sz w:val="26"/>
          <w:szCs w:val="26"/>
        </w:rPr>
        <w:t>SEEP</w:t>
      </w:r>
      <w:r w:rsidR="00465F36" w:rsidRPr="00AB1FD8">
        <w:rPr>
          <w:sz w:val="26"/>
          <w:szCs w:val="26"/>
        </w:rPr>
        <w:t>.</w:t>
      </w:r>
      <w:r w:rsidR="00BD45FA" w:rsidRPr="00AB1FD8">
        <w:rPr>
          <w:sz w:val="26"/>
          <w:szCs w:val="26"/>
        </w:rPr>
        <w:t xml:space="preserve"> </w:t>
      </w:r>
    </w:p>
    <w:p w:rsidR="004C50CE" w:rsidRPr="00AB1FD8" w:rsidRDefault="004C50CE" w:rsidP="004C50CE">
      <w:pPr>
        <w:spacing w:after="0" w:line="240" w:lineRule="auto"/>
        <w:jc w:val="both"/>
        <w:rPr>
          <w:sz w:val="26"/>
          <w:szCs w:val="26"/>
        </w:rPr>
      </w:pPr>
    </w:p>
    <w:p w:rsidR="00465F36" w:rsidRPr="00AB1FD8" w:rsidRDefault="00465F36" w:rsidP="004C50CE">
      <w:pPr>
        <w:spacing w:after="0" w:line="240" w:lineRule="auto"/>
        <w:jc w:val="both"/>
        <w:rPr>
          <w:sz w:val="26"/>
          <w:szCs w:val="26"/>
        </w:rPr>
      </w:pPr>
      <w:r w:rsidRPr="00AB1FD8">
        <w:rPr>
          <w:b/>
          <w:sz w:val="26"/>
          <w:szCs w:val="26"/>
        </w:rPr>
        <w:t xml:space="preserve">Cette </w:t>
      </w:r>
      <w:r w:rsidR="003E0C45" w:rsidRPr="00AB1FD8">
        <w:rPr>
          <w:b/>
          <w:sz w:val="26"/>
          <w:szCs w:val="26"/>
        </w:rPr>
        <w:t>méthode pour le moins</w:t>
      </w:r>
      <w:r w:rsidRPr="00AB1FD8">
        <w:rPr>
          <w:sz w:val="26"/>
          <w:szCs w:val="26"/>
        </w:rPr>
        <w:t xml:space="preserve"> </w:t>
      </w:r>
      <w:r w:rsidRPr="00AB1FD8">
        <w:rPr>
          <w:b/>
          <w:sz w:val="26"/>
          <w:szCs w:val="26"/>
        </w:rPr>
        <w:t>cavalière rompt</w:t>
      </w:r>
      <w:r w:rsidR="006F3BE7" w:rsidRPr="00AB1FD8">
        <w:rPr>
          <w:sz w:val="26"/>
          <w:szCs w:val="26"/>
        </w:rPr>
        <w:t xml:space="preserve"> </w:t>
      </w:r>
      <w:r w:rsidR="00E97855" w:rsidRPr="00AB1FD8">
        <w:rPr>
          <w:b/>
          <w:sz w:val="26"/>
          <w:szCs w:val="26"/>
        </w:rPr>
        <w:t>avec la parole donnée</w:t>
      </w:r>
      <w:r w:rsidR="00E02CCF" w:rsidRPr="00AB1FD8">
        <w:rPr>
          <w:sz w:val="26"/>
          <w:szCs w:val="26"/>
        </w:rPr>
        <w:t>. Elle</w:t>
      </w:r>
      <w:r w:rsidR="006F3BE7" w:rsidRPr="00AB1FD8">
        <w:rPr>
          <w:sz w:val="26"/>
          <w:szCs w:val="26"/>
        </w:rPr>
        <w:t xml:space="preserve"> </w:t>
      </w:r>
      <w:r w:rsidR="005A53CE" w:rsidRPr="00AB1FD8">
        <w:rPr>
          <w:sz w:val="26"/>
          <w:szCs w:val="26"/>
        </w:rPr>
        <w:t>ne tient pas compte</w:t>
      </w:r>
      <w:r w:rsidR="005A53CE" w:rsidRPr="00AB1FD8">
        <w:rPr>
          <w:b/>
          <w:sz w:val="26"/>
          <w:szCs w:val="26"/>
        </w:rPr>
        <w:t xml:space="preserve"> </w:t>
      </w:r>
      <w:r w:rsidR="005A53CE" w:rsidRPr="00AB1FD8">
        <w:rPr>
          <w:sz w:val="26"/>
          <w:szCs w:val="26"/>
        </w:rPr>
        <w:t xml:space="preserve">de </w:t>
      </w:r>
      <w:r w:rsidRPr="00AB1FD8">
        <w:rPr>
          <w:sz w:val="26"/>
          <w:szCs w:val="26"/>
        </w:rPr>
        <w:t xml:space="preserve">l’égalité entre les agents </w:t>
      </w:r>
      <w:r w:rsidR="007303E3" w:rsidRPr="00AB1FD8">
        <w:rPr>
          <w:sz w:val="26"/>
          <w:szCs w:val="26"/>
        </w:rPr>
        <w:t>e</w:t>
      </w:r>
      <w:r w:rsidRPr="00AB1FD8">
        <w:rPr>
          <w:sz w:val="26"/>
          <w:szCs w:val="26"/>
        </w:rPr>
        <w:t xml:space="preserve">t </w:t>
      </w:r>
      <w:r w:rsidR="006F3BE7" w:rsidRPr="00AB1FD8">
        <w:rPr>
          <w:sz w:val="26"/>
          <w:szCs w:val="26"/>
        </w:rPr>
        <w:t xml:space="preserve">va à l’encontre de </w:t>
      </w:r>
      <w:r w:rsidRPr="00AB1FD8">
        <w:rPr>
          <w:sz w:val="26"/>
          <w:szCs w:val="26"/>
        </w:rPr>
        <w:t xml:space="preserve">l’objectif d’atteindre une égalité </w:t>
      </w:r>
      <w:r w:rsidR="007A0318" w:rsidRPr="00AB1FD8">
        <w:rPr>
          <w:sz w:val="26"/>
          <w:szCs w:val="26"/>
        </w:rPr>
        <w:t>Femme</w:t>
      </w:r>
      <w:r w:rsidRPr="00AB1FD8">
        <w:rPr>
          <w:sz w:val="26"/>
          <w:szCs w:val="26"/>
        </w:rPr>
        <w:t>/</w:t>
      </w:r>
      <w:r w:rsidR="007A0318" w:rsidRPr="00AB1FD8">
        <w:rPr>
          <w:sz w:val="26"/>
          <w:szCs w:val="26"/>
        </w:rPr>
        <w:t>Homme</w:t>
      </w:r>
      <w:r w:rsidRPr="00AB1FD8">
        <w:rPr>
          <w:sz w:val="26"/>
          <w:szCs w:val="26"/>
        </w:rPr>
        <w:t xml:space="preserve"> qui est pourtant l’un des piliers</w:t>
      </w:r>
      <w:r w:rsidR="00D1112E" w:rsidRPr="00AB1FD8">
        <w:rPr>
          <w:sz w:val="26"/>
          <w:szCs w:val="26"/>
        </w:rPr>
        <w:t xml:space="preserve"> de </w:t>
      </w:r>
      <w:r w:rsidR="00E97855" w:rsidRPr="00AB1FD8">
        <w:rPr>
          <w:sz w:val="26"/>
          <w:szCs w:val="26"/>
        </w:rPr>
        <w:t xml:space="preserve">la </w:t>
      </w:r>
      <w:r w:rsidR="00D1112E" w:rsidRPr="00AB1FD8">
        <w:rPr>
          <w:sz w:val="26"/>
          <w:szCs w:val="26"/>
        </w:rPr>
        <w:t>démarche</w:t>
      </w:r>
      <w:r w:rsidRPr="00AB1FD8">
        <w:rPr>
          <w:sz w:val="26"/>
          <w:szCs w:val="26"/>
        </w:rPr>
        <w:t xml:space="preserve"> </w:t>
      </w:r>
      <w:r w:rsidR="00F619B3" w:rsidRPr="00AB1FD8">
        <w:rPr>
          <w:sz w:val="26"/>
          <w:szCs w:val="26"/>
        </w:rPr>
        <w:t>mentionné</w:t>
      </w:r>
      <w:r w:rsidR="00E97855" w:rsidRPr="00AB1FD8">
        <w:rPr>
          <w:sz w:val="26"/>
          <w:szCs w:val="26"/>
        </w:rPr>
        <w:t>e</w:t>
      </w:r>
      <w:r w:rsidR="00F619B3" w:rsidRPr="00AB1FD8">
        <w:rPr>
          <w:sz w:val="26"/>
          <w:szCs w:val="26"/>
        </w:rPr>
        <w:t xml:space="preserve"> dans l’article de presse.</w:t>
      </w:r>
    </w:p>
    <w:p w:rsidR="004C50CE" w:rsidRPr="00AB1FD8" w:rsidRDefault="004C50CE" w:rsidP="004C50CE">
      <w:pPr>
        <w:spacing w:after="0" w:line="240" w:lineRule="auto"/>
        <w:jc w:val="both"/>
        <w:rPr>
          <w:sz w:val="26"/>
          <w:szCs w:val="26"/>
        </w:rPr>
      </w:pPr>
    </w:p>
    <w:p w:rsidR="00DD034D" w:rsidRPr="00AB1FD8" w:rsidRDefault="00E97855" w:rsidP="004C50CE">
      <w:pPr>
        <w:spacing w:after="0" w:line="240" w:lineRule="auto"/>
        <w:jc w:val="both"/>
        <w:rPr>
          <w:sz w:val="26"/>
          <w:szCs w:val="26"/>
        </w:rPr>
      </w:pPr>
      <w:r w:rsidRPr="00AB1FD8">
        <w:rPr>
          <w:b/>
          <w:sz w:val="26"/>
          <w:szCs w:val="26"/>
        </w:rPr>
        <w:t xml:space="preserve">Cette </w:t>
      </w:r>
      <w:r w:rsidR="00D1112E" w:rsidRPr="00AB1FD8">
        <w:rPr>
          <w:b/>
          <w:sz w:val="26"/>
          <w:szCs w:val="26"/>
        </w:rPr>
        <w:t>action</w:t>
      </w:r>
      <w:r w:rsidR="00465F36" w:rsidRPr="00AB1FD8">
        <w:rPr>
          <w:b/>
          <w:sz w:val="26"/>
          <w:szCs w:val="26"/>
        </w:rPr>
        <w:t xml:space="preserve"> </w:t>
      </w:r>
      <w:r w:rsidR="007303E3" w:rsidRPr="00AB1FD8">
        <w:rPr>
          <w:b/>
          <w:sz w:val="26"/>
          <w:szCs w:val="26"/>
        </w:rPr>
        <w:t>men</w:t>
      </w:r>
      <w:r w:rsidR="00465F36" w:rsidRPr="00AB1FD8">
        <w:rPr>
          <w:b/>
          <w:sz w:val="26"/>
          <w:szCs w:val="26"/>
        </w:rPr>
        <w:t xml:space="preserve">ée par </w:t>
      </w:r>
      <w:r w:rsidRPr="00AB1FD8">
        <w:rPr>
          <w:b/>
          <w:sz w:val="26"/>
          <w:szCs w:val="26"/>
        </w:rPr>
        <w:t>un seul syndicat</w:t>
      </w:r>
      <w:r w:rsidR="005F5B32">
        <w:rPr>
          <w:b/>
          <w:sz w:val="26"/>
          <w:szCs w:val="26"/>
        </w:rPr>
        <w:t>,</w:t>
      </w:r>
      <w:r w:rsidR="00DD034D" w:rsidRPr="00AB1FD8">
        <w:rPr>
          <w:sz w:val="26"/>
          <w:szCs w:val="26"/>
        </w:rPr>
        <w:t xml:space="preserve"> </w:t>
      </w:r>
      <w:r w:rsidR="005F5B32" w:rsidRPr="00AB1FD8">
        <w:rPr>
          <w:sz w:val="26"/>
          <w:szCs w:val="26"/>
        </w:rPr>
        <w:t>ciblé</w:t>
      </w:r>
      <w:r w:rsidR="006E5EAB">
        <w:rPr>
          <w:sz w:val="26"/>
          <w:szCs w:val="26"/>
        </w:rPr>
        <w:t>e</w:t>
      </w:r>
      <w:r w:rsidR="005F5B32" w:rsidRPr="00AB1FD8">
        <w:rPr>
          <w:sz w:val="26"/>
          <w:szCs w:val="26"/>
        </w:rPr>
        <w:t xml:space="preserve"> </w:t>
      </w:r>
      <w:r w:rsidRPr="00AB1FD8">
        <w:rPr>
          <w:sz w:val="26"/>
          <w:szCs w:val="26"/>
        </w:rPr>
        <w:t>s</w:t>
      </w:r>
      <w:r w:rsidR="00DD034D" w:rsidRPr="00AB1FD8">
        <w:rPr>
          <w:sz w:val="26"/>
          <w:szCs w:val="26"/>
        </w:rPr>
        <w:t xml:space="preserve">ur </w:t>
      </w:r>
      <w:r w:rsidRPr="00AB1FD8">
        <w:rPr>
          <w:sz w:val="26"/>
          <w:szCs w:val="26"/>
        </w:rPr>
        <w:t>4</w:t>
      </w:r>
      <w:r w:rsidR="00DD034D" w:rsidRPr="00AB1FD8">
        <w:rPr>
          <w:b/>
          <w:sz w:val="26"/>
          <w:szCs w:val="26"/>
        </w:rPr>
        <w:t xml:space="preserve"> </w:t>
      </w:r>
      <w:r w:rsidRPr="00AB1FD8">
        <w:rPr>
          <w:sz w:val="26"/>
          <w:szCs w:val="26"/>
        </w:rPr>
        <w:t>services</w:t>
      </w:r>
      <w:r w:rsidR="005F5B32">
        <w:rPr>
          <w:sz w:val="26"/>
          <w:szCs w:val="26"/>
        </w:rPr>
        <w:t>,</w:t>
      </w:r>
      <w:r w:rsidRPr="00AB1FD8">
        <w:rPr>
          <w:sz w:val="26"/>
          <w:szCs w:val="26"/>
        </w:rPr>
        <w:t xml:space="preserve"> au</w:t>
      </w:r>
      <w:r w:rsidR="00DD034D" w:rsidRPr="00AB1FD8">
        <w:rPr>
          <w:sz w:val="26"/>
          <w:szCs w:val="26"/>
        </w:rPr>
        <w:t xml:space="preserve">rait </w:t>
      </w:r>
      <w:r w:rsidRPr="00AB1FD8">
        <w:rPr>
          <w:sz w:val="26"/>
          <w:szCs w:val="26"/>
        </w:rPr>
        <w:t>éga</w:t>
      </w:r>
      <w:r w:rsidR="003C2DE7">
        <w:rPr>
          <w:sz w:val="26"/>
          <w:szCs w:val="26"/>
        </w:rPr>
        <w:t>lement pour conséquence d’accroî</w:t>
      </w:r>
      <w:r w:rsidRPr="00AB1FD8">
        <w:rPr>
          <w:sz w:val="26"/>
          <w:szCs w:val="26"/>
        </w:rPr>
        <w:t>tre l’iniquité entre les agents de la c</w:t>
      </w:r>
      <w:r w:rsidR="00DD034D" w:rsidRPr="00AB1FD8">
        <w:rPr>
          <w:sz w:val="26"/>
          <w:szCs w:val="26"/>
        </w:rPr>
        <w:t xml:space="preserve">atégorie C. </w:t>
      </w:r>
    </w:p>
    <w:p w:rsidR="00DD034D" w:rsidRPr="00AB1FD8" w:rsidRDefault="00DD034D" w:rsidP="004C50CE">
      <w:pPr>
        <w:spacing w:after="0" w:line="240" w:lineRule="auto"/>
        <w:jc w:val="both"/>
        <w:rPr>
          <w:sz w:val="26"/>
          <w:szCs w:val="26"/>
        </w:rPr>
      </w:pPr>
    </w:p>
    <w:p w:rsidR="007303E3" w:rsidRDefault="00465F36" w:rsidP="005F5B32">
      <w:pPr>
        <w:spacing w:after="0" w:line="240" w:lineRule="auto"/>
        <w:jc w:val="both"/>
        <w:rPr>
          <w:sz w:val="26"/>
          <w:szCs w:val="26"/>
        </w:rPr>
      </w:pPr>
      <w:r w:rsidRPr="00AB1FD8">
        <w:rPr>
          <w:b/>
          <w:sz w:val="26"/>
          <w:szCs w:val="26"/>
        </w:rPr>
        <w:t xml:space="preserve">La CFDT, </w:t>
      </w:r>
      <w:r w:rsidR="00255CC6" w:rsidRPr="00AB1FD8">
        <w:rPr>
          <w:b/>
          <w:sz w:val="26"/>
          <w:szCs w:val="26"/>
        </w:rPr>
        <w:t>la FA</w:t>
      </w:r>
      <w:r w:rsidR="00F674A4">
        <w:rPr>
          <w:b/>
          <w:sz w:val="26"/>
          <w:szCs w:val="26"/>
        </w:rPr>
        <w:t>-</w:t>
      </w:r>
      <w:r w:rsidR="00255CC6" w:rsidRPr="00AB1FD8">
        <w:rPr>
          <w:b/>
          <w:sz w:val="26"/>
          <w:szCs w:val="26"/>
        </w:rPr>
        <w:t>FPT</w:t>
      </w:r>
      <w:r w:rsidR="00255CC6">
        <w:rPr>
          <w:b/>
          <w:sz w:val="26"/>
          <w:szCs w:val="26"/>
        </w:rPr>
        <w:t xml:space="preserve"> et </w:t>
      </w:r>
      <w:r w:rsidR="00853A58">
        <w:rPr>
          <w:b/>
          <w:sz w:val="26"/>
          <w:szCs w:val="26"/>
        </w:rPr>
        <w:t xml:space="preserve">le </w:t>
      </w:r>
      <w:proofErr w:type="spellStart"/>
      <w:r w:rsidR="00853A58">
        <w:rPr>
          <w:b/>
          <w:sz w:val="26"/>
          <w:szCs w:val="26"/>
        </w:rPr>
        <w:t>SPT</w:t>
      </w:r>
      <w:proofErr w:type="spellEnd"/>
      <w:r w:rsidR="00853A58">
        <w:rPr>
          <w:b/>
          <w:sz w:val="26"/>
          <w:szCs w:val="26"/>
        </w:rPr>
        <w:t xml:space="preserve"> 67</w:t>
      </w:r>
      <w:r w:rsidRPr="00AB1FD8">
        <w:rPr>
          <w:b/>
          <w:sz w:val="26"/>
          <w:szCs w:val="26"/>
        </w:rPr>
        <w:t xml:space="preserve"> </w:t>
      </w:r>
      <w:r w:rsidR="007303E3" w:rsidRPr="00AB1FD8">
        <w:rPr>
          <w:b/>
          <w:sz w:val="26"/>
          <w:szCs w:val="26"/>
        </w:rPr>
        <w:t>exigent</w:t>
      </w:r>
      <w:r w:rsidR="007303E3" w:rsidRPr="00AB1FD8">
        <w:rPr>
          <w:sz w:val="26"/>
          <w:szCs w:val="26"/>
        </w:rPr>
        <w:t xml:space="preserve"> </w:t>
      </w:r>
      <w:r w:rsidR="007303E3" w:rsidRPr="00F674A4">
        <w:rPr>
          <w:b/>
          <w:sz w:val="26"/>
          <w:szCs w:val="26"/>
        </w:rPr>
        <w:t>que</w:t>
      </w:r>
      <w:r w:rsidR="007303E3" w:rsidRPr="00AB1FD8">
        <w:rPr>
          <w:sz w:val="26"/>
          <w:szCs w:val="26"/>
        </w:rPr>
        <w:t> :</w:t>
      </w:r>
    </w:p>
    <w:p w:rsidR="005F5B32" w:rsidRPr="00FF292E" w:rsidRDefault="005F5B32" w:rsidP="005F5B32">
      <w:pPr>
        <w:spacing w:after="0" w:line="240" w:lineRule="auto"/>
        <w:jc w:val="both"/>
      </w:pPr>
    </w:p>
    <w:p w:rsidR="00A44159" w:rsidRPr="00AB1FD8" w:rsidRDefault="00DD034D" w:rsidP="005F5B3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AB1FD8">
        <w:rPr>
          <w:sz w:val="26"/>
          <w:szCs w:val="26"/>
        </w:rPr>
        <w:t>l</w:t>
      </w:r>
      <w:r w:rsidR="00A44159" w:rsidRPr="00AB1FD8">
        <w:rPr>
          <w:sz w:val="26"/>
          <w:szCs w:val="26"/>
        </w:rPr>
        <w:t>a parole donnée soit respectée</w:t>
      </w:r>
      <w:r w:rsidRPr="00AB1FD8">
        <w:rPr>
          <w:sz w:val="26"/>
          <w:szCs w:val="26"/>
        </w:rPr>
        <w:t>,</w:t>
      </w:r>
    </w:p>
    <w:p w:rsidR="003C2DE7" w:rsidRDefault="00DD034D" w:rsidP="005F5B3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3C2DE7">
        <w:rPr>
          <w:sz w:val="26"/>
          <w:szCs w:val="26"/>
        </w:rPr>
        <w:t>l</w:t>
      </w:r>
      <w:r w:rsidR="00465F36" w:rsidRPr="003C2DE7">
        <w:rPr>
          <w:sz w:val="26"/>
          <w:szCs w:val="26"/>
        </w:rPr>
        <w:t xml:space="preserve">es négociations soient </w:t>
      </w:r>
      <w:r w:rsidR="007303E3" w:rsidRPr="003C2DE7">
        <w:rPr>
          <w:sz w:val="26"/>
          <w:szCs w:val="26"/>
        </w:rPr>
        <w:t>mené</w:t>
      </w:r>
      <w:r w:rsidR="00465F36" w:rsidRPr="003C2DE7">
        <w:rPr>
          <w:sz w:val="26"/>
          <w:szCs w:val="26"/>
        </w:rPr>
        <w:t>es de manière globale</w:t>
      </w:r>
      <w:r w:rsidR="000C35CA">
        <w:rPr>
          <w:sz w:val="26"/>
          <w:szCs w:val="26"/>
        </w:rPr>
        <w:t>,</w:t>
      </w:r>
    </w:p>
    <w:p w:rsidR="005F5B32" w:rsidRDefault="00AB1FD8" w:rsidP="00211A4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5F5B32">
        <w:rPr>
          <w:sz w:val="26"/>
          <w:szCs w:val="26"/>
        </w:rPr>
        <w:t>les sujets ne soient pas traités en catimini</w:t>
      </w:r>
      <w:r w:rsidR="00AC0EE4">
        <w:rPr>
          <w:sz w:val="26"/>
          <w:szCs w:val="26"/>
        </w:rPr>
        <w:t xml:space="preserve"> mais avec l’ensemble des 4 syndicats représentatifs,</w:t>
      </w:r>
      <w:r w:rsidRPr="005F5B32">
        <w:rPr>
          <w:sz w:val="26"/>
          <w:szCs w:val="26"/>
        </w:rPr>
        <w:t xml:space="preserve"> </w:t>
      </w:r>
    </w:p>
    <w:p w:rsidR="007303E3" w:rsidRPr="005F5B32" w:rsidRDefault="001F05FB" w:rsidP="00211A4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5F5B32">
        <w:rPr>
          <w:sz w:val="26"/>
          <w:szCs w:val="26"/>
        </w:rPr>
        <w:t>l</w:t>
      </w:r>
      <w:r w:rsidR="00C01C7A" w:rsidRPr="005F5B32">
        <w:rPr>
          <w:sz w:val="26"/>
          <w:szCs w:val="26"/>
        </w:rPr>
        <w:t>’information se fasse</w:t>
      </w:r>
      <w:r w:rsidR="007303E3" w:rsidRPr="005F5B32">
        <w:rPr>
          <w:sz w:val="26"/>
          <w:szCs w:val="26"/>
        </w:rPr>
        <w:t xml:space="preserve"> autrement que par voie de presse,</w:t>
      </w:r>
    </w:p>
    <w:p w:rsidR="00465F36" w:rsidRPr="00AB1FD8" w:rsidRDefault="001F05FB" w:rsidP="005F5B3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AB1FD8">
        <w:rPr>
          <w:sz w:val="26"/>
          <w:szCs w:val="26"/>
        </w:rPr>
        <w:t>l</w:t>
      </w:r>
      <w:r w:rsidR="007303E3" w:rsidRPr="00AB1FD8">
        <w:rPr>
          <w:sz w:val="26"/>
          <w:szCs w:val="26"/>
        </w:rPr>
        <w:t xml:space="preserve">es </w:t>
      </w:r>
      <w:r w:rsidR="007303E3" w:rsidRPr="00921214">
        <w:rPr>
          <w:b/>
          <w:sz w:val="26"/>
          <w:szCs w:val="26"/>
        </w:rPr>
        <w:t>décisions prises</w:t>
      </w:r>
      <w:r w:rsidR="007303E3" w:rsidRPr="00AB1FD8">
        <w:rPr>
          <w:sz w:val="26"/>
          <w:szCs w:val="26"/>
        </w:rPr>
        <w:t xml:space="preserve"> </w:t>
      </w:r>
      <w:r w:rsidR="00921214">
        <w:rPr>
          <w:b/>
          <w:sz w:val="26"/>
          <w:szCs w:val="26"/>
        </w:rPr>
        <w:t xml:space="preserve">ne bafouent, </w:t>
      </w:r>
      <w:r w:rsidR="00921214" w:rsidRPr="00921214">
        <w:rPr>
          <w:sz w:val="26"/>
          <w:szCs w:val="26"/>
        </w:rPr>
        <w:t>ni</w:t>
      </w:r>
      <w:r w:rsidR="00101356" w:rsidRPr="00AB1FD8">
        <w:rPr>
          <w:sz w:val="26"/>
          <w:szCs w:val="26"/>
        </w:rPr>
        <w:t xml:space="preserve"> </w:t>
      </w:r>
      <w:r w:rsidR="00F91AAC" w:rsidRPr="00921214">
        <w:rPr>
          <w:b/>
          <w:sz w:val="26"/>
          <w:szCs w:val="26"/>
        </w:rPr>
        <w:t>le</w:t>
      </w:r>
      <w:r w:rsidR="00465F36" w:rsidRPr="00921214">
        <w:rPr>
          <w:b/>
          <w:sz w:val="26"/>
          <w:szCs w:val="26"/>
        </w:rPr>
        <w:t xml:space="preserve"> </w:t>
      </w:r>
      <w:r w:rsidR="007303E3" w:rsidRPr="00921214">
        <w:rPr>
          <w:b/>
          <w:sz w:val="26"/>
          <w:szCs w:val="26"/>
        </w:rPr>
        <w:t>principe</w:t>
      </w:r>
      <w:r w:rsidR="007303E3" w:rsidRPr="00AB1FD8">
        <w:rPr>
          <w:sz w:val="26"/>
          <w:szCs w:val="26"/>
        </w:rPr>
        <w:t xml:space="preserve"> </w:t>
      </w:r>
      <w:r w:rsidR="005F5B32">
        <w:rPr>
          <w:b/>
          <w:sz w:val="26"/>
          <w:szCs w:val="26"/>
        </w:rPr>
        <w:t xml:space="preserve">d’égalité </w:t>
      </w:r>
      <w:r w:rsidR="007303E3" w:rsidRPr="00AB1FD8">
        <w:rPr>
          <w:sz w:val="26"/>
          <w:szCs w:val="26"/>
        </w:rPr>
        <w:t>entre les agents</w:t>
      </w:r>
      <w:r w:rsidR="00921214">
        <w:rPr>
          <w:sz w:val="26"/>
          <w:szCs w:val="26"/>
        </w:rPr>
        <w:t>, ni</w:t>
      </w:r>
      <w:r w:rsidR="00F91AAC" w:rsidRPr="00AB1FD8">
        <w:rPr>
          <w:sz w:val="26"/>
          <w:szCs w:val="26"/>
        </w:rPr>
        <w:t xml:space="preserve"> </w:t>
      </w:r>
      <w:r w:rsidR="00ED6858" w:rsidRPr="00AB1FD8">
        <w:rPr>
          <w:sz w:val="26"/>
          <w:szCs w:val="26"/>
        </w:rPr>
        <w:t xml:space="preserve">le </w:t>
      </w:r>
      <w:r w:rsidR="00ED6858" w:rsidRPr="00921214">
        <w:rPr>
          <w:b/>
          <w:sz w:val="26"/>
          <w:szCs w:val="26"/>
        </w:rPr>
        <w:t>principe d’</w:t>
      </w:r>
      <w:r w:rsidR="00F91AAC" w:rsidRPr="00921214">
        <w:rPr>
          <w:b/>
          <w:sz w:val="26"/>
          <w:szCs w:val="26"/>
        </w:rPr>
        <w:t>égalité</w:t>
      </w:r>
      <w:r w:rsidR="00F91AAC" w:rsidRPr="00AB1FD8">
        <w:rPr>
          <w:sz w:val="26"/>
          <w:szCs w:val="26"/>
        </w:rPr>
        <w:t xml:space="preserve"> </w:t>
      </w:r>
      <w:r w:rsidR="00F91AAC" w:rsidRPr="00AB1FD8">
        <w:rPr>
          <w:b/>
          <w:sz w:val="26"/>
          <w:szCs w:val="26"/>
        </w:rPr>
        <w:t>Femme/Homme</w:t>
      </w:r>
      <w:r w:rsidR="007303E3" w:rsidRPr="00AB1FD8">
        <w:rPr>
          <w:sz w:val="26"/>
          <w:szCs w:val="26"/>
        </w:rPr>
        <w:t xml:space="preserve">, </w:t>
      </w:r>
      <w:r w:rsidR="00D56F1E" w:rsidRPr="00AB1FD8">
        <w:rPr>
          <w:sz w:val="26"/>
          <w:szCs w:val="26"/>
        </w:rPr>
        <w:t>quel que soit l</w:t>
      </w:r>
      <w:r w:rsidRPr="00AB1FD8">
        <w:rPr>
          <w:sz w:val="26"/>
          <w:szCs w:val="26"/>
        </w:rPr>
        <w:t>a</w:t>
      </w:r>
      <w:r w:rsidR="00D56F1E" w:rsidRPr="00AB1FD8">
        <w:rPr>
          <w:sz w:val="26"/>
          <w:szCs w:val="26"/>
        </w:rPr>
        <w:t xml:space="preserve"> direction ou </w:t>
      </w:r>
      <w:r w:rsidRPr="00AB1FD8">
        <w:rPr>
          <w:sz w:val="26"/>
          <w:szCs w:val="26"/>
        </w:rPr>
        <w:t xml:space="preserve">le </w:t>
      </w:r>
      <w:r w:rsidR="00D56F1E" w:rsidRPr="00AB1FD8">
        <w:rPr>
          <w:sz w:val="26"/>
          <w:szCs w:val="26"/>
        </w:rPr>
        <w:t>service de rattachement</w:t>
      </w:r>
      <w:r w:rsidR="007303E3" w:rsidRPr="00AB1FD8">
        <w:rPr>
          <w:sz w:val="26"/>
          <w:szCs w:val="26"/>
        </w:rPr>
        <w:t>.</w:t>
      </w:r>
      <w:bookmarkStart w:id="0" w:name="_GoBack"/>
      <w:bookmarkEnd w:id="0"/>
    </w:p>
    <w:sectPr w:rsidR="00465F36" w:rsidRPr="00AB1FD8" w:rsidSect="00255CC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D5B10"/>
    <w:multiLevelType w:val="hybridMultilevel"/>
    <w:tmpl w:val="350EE83C"/>
    <w:lvl w:ilvl="0" w:tplc="1A963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8F"/>
    <w:rsid w:val="000726E6"/>
    <w:rsid w:val="000C35CA"/>
    <w:rsid w:val="00101356"/>
    <w:rsid w:val="00151176"/>
    <w:rsid w:val="001F05FB"/>
    <w:rsid w:val="00255CC6"/>
    <w:rsid w:val="00272F7A"/>
    <w:rsid w:val="00285D25"/>
    <w:rsid w:val="002C7667"/>
    <w:rsid w:val="003C2DE7"/>
    <w:rsid w:val="003D4682"/>
    <w:rsid w:val="003E0C45"/>
    <w:rsid w:val="004028B3"/>
    <w:rsid w:val="00453039"/>
    <w:rsid w:val="00465F36"/>
    <w:rsid w:val="004C2555"/>
    <w:rsid w:val="004C50CE"/>
    <w:rsid w:val="00512E98"/>
    <w:rsid w:val="005A53CE"/>
    <w:rsid w:val="005F5B32"/>
    <w:rsid w:val="00677285"/>
    <w:rsid w:val="006E5EAB"/>
    <w:rsid w:val="006F3BE7"/>
    <w:rsid w:val="00717508"/>
    <w:rsid w:val="007303E3"/>
    <w:rsid w:val="007A0318"/>
    <w:rsid w:val="0084238F"/>
    <w:rsid w:val="00853A58"/>
    <w:rsid w:val="008D709B"/>
    <w:rsid w:val="008E488E"/>
    <w:rsid w:val="00921214"/>
    <w:rsid w:val="00922E42"/>
    <w:rsid w:val="009B1180"/>
    <w:rsid w:val="009B7C68"/>
    <w:rsid w:val="009D34B4"/>
    <w:rsid w:val="00A44159"/>
    <w:rsid w:val="00A72433"/>
    <w:rsid w:val="00AB1FD8"/>
    <w:rsid w:val="00AB31A4"/>
    <w:rsid w:val="00AC0EE4"/>
    <w:rsid w:val="00AD1450"/>
    <w:rsid w:val="00B05F14"/>
    <w:rsid w:val="00BD45FA"/>
    <w:rsid w:val="00BF240C"/>
    <w:rsid w:val="00C01C7A"/>
    <w:rsid w:val="00C14E22"/>
    <w:rsid w:val="00C74E4F"/>
    <w:rsid w:val="00CC4F62"/>
    <w:rsid w:val="00CF4082"/>
    <w:rsid w:val="00D006B2"/>
    <w:rsid w:val="00D07645"/>
    <w:rsid w:val="00D1112E"/>
    <w:rsid w:val="00D56F1E"/>
    <w:rsid w:val="00D67434"/>
    <w:rsid w:val="00D8445A"/>
    <w:rsid w:val="00D92B9C"/>
    <w:rsid w:val="00DD034D"/>
    <w:rsid w:val="00E02CCF"/>
    <w:rsid w:val="00E06D40"/>
    <w:rsid w:val="00E501D3"/>
    <w:rsid w:val="00E83CB2"/>
    <w:rsid w:val="00E97855"/>
    <w:rsid w:val="00EA469D"/>
    <w:rsid w:val="00ED4896"/>
    <w:rsid w:val="00ED6858"/>
    <w:rsid w:val="00F41606"/>
    <w:rsid w:val="00F619B3"/>
    <w:rsid w:val="00F674A4"/>
    <w:rsid w:val="00F91AAC"/>
    <w:rsid w:val="00F97925"/>
    <w:rsid w:val="00FD709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E92D-5752-4755-8497-DDEB4039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F3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03E3"/>
    <w:pPr>
      <w:ind w:left="720"/>
      <w:contextualSpacing/>
    </w:pPr>
  </w:style>
  <w:style w:type="paragraph" w:customStyle="1" w:styleId="Standard">
    <w:name w:val="Standard"/>
    <w:rsid w:val="00F979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433D-B30D-4E3A-A559-DB40556C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KUNTZMANN Pierre</dc:creator>
  <cp:keywords/>
  <dc:description/>
  <cp:lastModifiedBy>Marc</cp:lastModifiedBy>
  <cp:revision>3</cp:revision>
  <cp:lastPrinted>2022-03-23T08:25:00Z</cp:lastPrinted>
  <dcterms:created xsi:type="dcterms:W3CDTF">2022-03-24T09:34:00Z</dcterms:created>
  <dcterms:modified xsi:type="dcterms:W3CDTF">2022-03-24T16:25:00Z</dcterms:modified>
</cp:coreProperties>
</file>